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A6" w:rsidRDefault="008E04A6" w:rsidP="008E04A6">
      <w:pPr>
        <w:widowControl w:val="0"/>
        <w:tabs>
          <w:tab w:val="left" w:pos="300"/>
        </w:tabs>
        <w:autoSpaceDE w:val="0"/>
        <w:autoSpaceDN w:val="0"/>
        <w:adjustRightInd w:val="0"/>
        <w:ind w:left="301"/>
        <w:jc w:val="center"/>
        <w:rPr>
          <w:rFonts w:ascii="Arial" w:hAnsi="Arial" w:cs="Arial"/>
          <w:b/>
          <w:bCs/>
          <w:sz w:val="24"/>
          <w:szCs w:val="24"/>
        </w:rPr>
      </w:pPr>
    </w:p>
    <w:p w:rsidR="008E04A6" w:rsidRPr="00BD0A7C" w:rsidRDefault="008E04A6" w:rsidP="008E04A6">
      <w:pPr>
        <w:widowControl w:val="0"/>
        <w:tabs>
          <w:tab w:val="left" w:pos="300"/>
        </w:tabs>
        <w:autoSpaceDE w:val="0"/>
        <w:autoSpaceDN w:val="0"/>
        <w:adjustRightInd w:val="0"/>
        <w:spacing w:line="360" w:lineRule="exact"/>
        <w:ind w:left="301"/>
        <w:jc w:val="center"/>
        <w:rPr>
          <w:rFonts w:ascii="Arial" w:hAnsi="Arial" w:cs="Arial"/>
          <w:b/>
          <w:bCs/>
          <w:sz w:val="24"/>
          <w:szCs w:val="24"/>
        </w:rPr>
      </w:pPr>
      <w:r w:rsidRPr="00BD0A7C">
        <w:rPr>
          <w:rFonts w:ascii="Arial" w:hAnsi="Arial" w:cs="Arial"/>
          <w:b/>
          <w:bCs/>
          <w:sz w:val="24"/>
          <w:szCs w:val="24"/>
        </w:rPr>
        <w:t>Muster</w:t>
      </w:r>
      <w:r w:rsidRPr="00BD0A7C">
        <w:rPr>
          <w:sz w:val="24"/>
          <w:szCs w:val="24"/>
        </w:rPr>
        <w:t xml:space="preserve"> </w:t>
      </w:r>
      <w:r w:rsidRPr="00BD0A7C">
        <w:rPr>
          <w:rFonts w:ascii="Arial" w:hAnsi="Arial" w:cs="Arial"/>
          <w:b/>
          <w:bCs/>
          <w:sz w:val="24"/>
          <w:szCs w:val="24"/>
        </w:rPr>
        <w:t xml:space="preserve">für den </w:t>
      </w:r>
      <w:r>
        <w:rPr>
          <w:rFonts w:ascii="Arial" w:hAnsi="Arial" w:cs="Arial"/>
          <w:b/>
          <w:bCs/>
          <w:sz w:val="24"/>
          <w:szCs w:val="24"/>
        </w:rPr>
        <w:t xml:space="preserve">Beschluss über die Feststellung des Erweiterten Beteiligungsberichts nach </w:t>
      </w:r>
      <w:r w:rsidRPr="00BD0A7C">
        <w:rPr>
          <w:rFonts w:ascii="Arial" w:hAnsi="Arial" w:cs="Arial"/>
          <w:b/>
          <w:bCs/>
          <w:sz w:val="24"/>
          <w:szCs w:val="24"/>
        </w:rPr>
        <w:t>§ 95b Absatz 1 GemO</w:t>
      </w:r>
      <w:r>
        <w:rPr>
          <w:rStyle w:val="Funotenzeichen"/>
          <w:rFonts w:cs="Arial"/>
          <w:b/>
          <w:bCs/>
          <w:sz w:val="24"/>
          <w:szCs w:val="24"/>
        </w:rPr>
        <w:footnoteReference w:id="1"/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E04A6" w:rsidRDefault="008E04A6" w:rsidP="008E04A6">
      <w:pPr>
        <w:widowControl w:val="0"/>
        <w:tabs>
          <w:tab w:val="left" w:pos="300"/>
        </w:tabs>
        <w:autoSpaceDE w:val="0"/>
        <w:autoSpaceDN w:val="0"/>
        <w:adjustRightInd w:val="0"/>
        <w:spacing w:after="120" w:line="360" w:lineRule="atLeast"/>
        <w:ind w:left="301"/>
        <w:jc w:val="center"/>
        <w:rPr>
          <w:rFonts w:ascii="Arial" w:hAnsi="Arial" w:cs="Arial"/>
          <w:b/>
          <w:bCs/>
          <w:szCs w:val="19"/>
        </w:rPr>
      </w:pPr>
    </w:p>
    <w:p w:rsidR="008E04A6" w:rsidRDefault="008E04A6" w:rsidP="008E04A6">
      <w:pPr>
        <w:widowControl w:val="0"/>
        <w:tabs>
          <w:tab w:val="left" w:pos="300"/>
        </w:tabs>
        <w:autoSpaceDE w:val="0"/>
        <w:autoSpaceDN w:val="0"/>
        <w:adjustRightInd w:val="0"/>
        <w:spacing w:after="120" w:line="360" w:lineRule="atLeast"/>
        <w:ind w:left="301"/>
        <w:jc w:val="center"/>
        <w:rPr>
          <w:rFonts w:ascii="Arial" w:hAnsi="Arial" w:cs="Arial"/>
          <w:b/>
          <w:bCs/>
          <w:szCs w:val="19"/>
        </w:rPr>
      </w:pPr>
      <w:r>
        <w:rPr>
          <w:rFonts w:ascii="Arial" w:hAnsi="Arial" w:cs="Arial"/>
          <w:b/>
          <w:bCs/>
          <w:szCs w:val="19"/>
        </w:rPr>
        <w:t>Feststellungsbeschluss</w:t>
      </w:r>
    </w:p>
    <w:p w:rsidR="008E04A6" w:rsidRDefault="008E04A6" w:rsidP="008E04A6">
      <w:pPr>
        <w:pStyle w:val="Textkrper2"/>
        <w:spacing w:after="0" w:line="360" w:lineRule="atLeast"/>
        <w:jc w:val="left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>Auf Grund von § 95b der Gemeindeordnung für Baden-Württemberg stellt der Gemeinderat am TT.MM.JJJJ den Erweiterten Beteiligungsbericht für das Jahr JJJJ mit folgenden Werten fest:</w:t>
      </w:r>
    </w:p>
    <w:p w:rsidR="00806059" w:rsidRDefault="00806059"/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838"/>
        <w:gridCol w:w="6387"/>
        <w:gridCol w:w="1847"/>
      </w:tblGrid>
      <w:tr w:rsidR="008E04A6" w:rsidTr="008E04A6">
        <w:trPr>
          <w:trHeight w:val="397"/>
        </w:trPr>
        <w:tc>
          <w:tcPr>
            <w:tcW w:w="7225" w:type="dxa"/>
            <w:gridSpan w:val="2"/>
            <w:tcBorders>
              <w:bottom w:val="single" w:sz="4" w:space="0" w:color="auto"/>
            </w:tcBorders>
          </w:tcPr>
          <w:p w:rsidR="008E04A6" w:rsidRDefault="008E04A6" w:rsidP="001B649C">
            <w:pPr>
              <w:tabs>
                <w:tab w:val="left" w:pos="459"/>
              </w:tabs>
              <w:spacing w:after="120"/>
              <w:rPr>
                <w:rFonts w:ascii="Arial" w:hAnsi="Arial" w:cs="Arial"/>
                <w:snapToGrid w:val="0"/>
                <w:spacing w:val="-6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8E04A6" w:rsidRPr="00D008DA" w:rsidRDefault="008E04A6" w:rsidP="001B649C">
            <w:pPr>
              <w:tabs>
                <w:tab w:val="left" w:pos="459"/>
              </w:tabs>
              <w:spacing w:before="120" w:after="120"/>
              <w:jc w:val="center"/>
              <w:rPr>
                <w:rFonts w:ascii="Arial" w:hAnsi="Arial" w:cs="Arial"/>
                <w:b/>
                <w:snapToGrid w:val="0"/>
                <w:spacing w:val="-6"/>
              </w:rPr>
            </w:pPr>
            <w:r w:rsidRPr="00D008DA">
              <w:rPr>
                <w:rFonts w:ascii="Arial" w:hAnsi="Arial" w:cs="Arial"/>
                <w:b/>
                <w:snapToGrid w:val="0"/>
                <w:spacing w:val="-6"/>
              </w:rPr>
              <w:t>EUR</w:t>
            </w:r>
          </w:p>
        </w:tc>
      </w:tr>
      <w:tr w:rsidR="008E04A6" w:rsidTr="008E04A6">
        <w:trPr>
          <w:trHeight w:val="39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  <w:r w:rsidRPr="00D3406F">
              <w:rPr>
                <w:rFonts w:ascii="Arial" w:hAnsi="Arial" w:cs="Arial"/>
                <w:b/>
                <w:snapToGrid w:val="0"/>
              </w:rPr>
              <w:t>Gesamtvermögenslage</w:t>
            </w:r>
            <w:r>
              <w:rPr>
                <w:rFonts w:ascii="Arial" w:hAnsi="Arial" w:cs="Arial"/>
                <w:b/>
                <w:snapToGrid w:val="0"/>
              </w:rPr>
              <w:t xml:space="preserve"> – Aktivseite</w:t>
            </w:r>
          </w:p>
        </w:tc>
      </w:tr>
      <w:tr w:rsidR="008E04A6" w:rsidRPr="00EE235D" w:rsidTr="008E04A6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Vermögen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38" w:type="dxa"/>
            <w:vAlign w:val="center"/>
          </w:tcPr>
          <w:p w:rsidR="008E04A6" w:rsidRPr="008132D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1.1</w:t>
            </w:r>
          </w:p>
        </w:tc>
        <w:tc>
          <w:tcPr>
            <w:tcW w:w="6387" w:type="dxa"/>
            <w:vAlign w:val="center"/>
            <w:hideMark/>
          </w:tcPr>
          <w:p w:rsidR="008E04A6" w:rsidRPr="0045724D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Immaterielle Vermögensgegenstände</w:t>
            </w:r>
          </w:p>
        </w:tc>
        <w:tc>
          <w:tcPr>
            <w:tcW w:w="1847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1.2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Sachvermögen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RPr="00BC5D72" w:rsidTr="008E04A6">
        <w:trPr>
          <w:trHeight w:val="397"/>
        </w:trPr>
        <w:tc>
          <w:tcPr>
            <w:tcW w:w="838" w:type="dxa"/>
          </w:tcPr>
          <w:p w:rsidR="008E04A6" w:rsidRPr="00BC5D72" w:rsidRDefault="008E04A6" w:rsidP="008E04A6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 w:rsidRPr="00BC5D72">
              <w:rPr>
                <w:rFonts w:ascii="Arial" w:hAnsi="Arial" w:cs="Arial"/>
                <w:snapToGrid w:val="0"/>
              </w:rPr>
              <w:t>1.2.1</w:t>
            </w:r>
          </w:p>
        </w:tc>
        <w:tc>
          <w:tcPr>
            <w:tcW w:w="6387" w:type="dxa"/>
          </w:tcPr>
          <w:p w:rsidR="008E04A6" w:rsidRPr="00BC5D72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Unbebaute und bebaute Grundstücke, grundstücksgleiche Rechte und Bauten auf fremden Grundstücken</w:t>
            </w:r>
          </w:p>
        </w:tc>
        <w:tc>
          <w:tcPr>
            <w:tcW w:w="1847" w:type="dxa"/>
            <w:vAlign w:val="center"/>
          </w:tcPr>
          <w:p w:rsidR="008E04A6" w:rsidRPr="00BC5D72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  <w:spacing w:val="-6"/>
              </w:rPr>
            </w:pPr>
          </w:p>
        </w:tc>
      </w:tr>
      <w:tr w:rsidR="008E04A6" w:rsidRPr="00BC5D72" w:rsidTr="008E04A6">
        <w:trPr>
          <w:trHeight w:val="397"/>
        </w:trPr>
        <w:tc>
          <w:tcPr>
            <w:tcW w:w="838" w:type="dxa"/>
            <w:vAlign w:val="center"/>
          </w:tcPr>
          <w:p w:rsidR="008E04A6" w:rsidRPr="009744F1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 w:rsidRPr="009744F1">
              <w:rPr>
                <w:rFonts w:ascii="Arial" w:hAnsi="Arial" w:cs="Arial"/>
                <w:snapToGrid w:val="0"/>
              </w:rPr>
              <w:t>1.2.2</w:t>
            </w:r>
          </w:p>
        </w:tc>
        <w:tc>
          <w:tcPr>
            <w:tcW w:w="6387" w:type="dxa"/>
            <w:vAlign w:val="center"/>
          </w:tcPr>
          <w:p w:rsidR="008E04A6" w:rsidRPr="009744F1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 w:rsidRPr="009744F1">
              <w:rPr>
                <w:rFonts w:ascii="Arial" w:hAnsi="Arial" w:cs="Arial"/>
                <w:snapToGrid w:val="0"/>
              </w:rPr>
              <w:t>Sonstiges Sachvermögen</w:t>
            </w:r>
          </w:p>
        </w:tc>
        <w:tc>
          <w:tcPr>
            <w:tcW w:w="1847" w:type="dxa"/>
            <w:vAlign w:val="center"/>
          </w:tcPr>
          <w:p w:rsidR="008E04A6" w:rsidRPr="00BC5D72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  <w:highlight w:val="lightGray"/>
              </w:rPr>
            </w:pPr>
          </w:p>
        </w:tc>
      </w:tr>
      <w:tr w:rsidR="008E04A6" w:rsidRPr="00BC5D72" w:rsidTr="008E04A6">
        <w:trPr>
          <w:trHeight w:val="397"/>
        </w:trPr>
        <w:tc>
          <w:tcPr>
            <w:tcW w:w="838" w:type="dxa"/>
            <w:vAlign w:val="center"/>
          </w:tcPr>
          <w:p w:rsidR="008E04A6" w:rsidRPr="009744F1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 w:rsidRPr="009744F1">
              <w:rPr>
                <w:rFonts w:ascii="Arial" w:hAnsi="Arial" w:cs="Arial"/>
                <w:snapToGrid w:val="0"/>
              </w:rPr>
              <w:t>1.2.2.1</w:t>
            </w:r>
          </w:p>
        </w:tc>
        <w:tc>
          <w:tcPr>
            <w:tcW w:w="6387" w:type="dxa"/>
            <w:vAlign w:val="center"/>
          </w:tcPr>
          <w:p w:rsidR="008E04A6" w:rsidRPr="009744F1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 w:rsidRPr="009744F1">
              <w:rPr>
                <w:rFonts w:ascii="Arial" w:hAnsi="Arial" w:cs="Arial"/>
                <w:snapToGrid w:val="0"/>
              </w:rPr>
              <w:t>Sonstiges Sachvermögen (ohne Vorräte)</w:t>
            </w:r>
          </w:p>
        </w:tc>
        <w:tc>
          <w:tcPr>
            <w:tcW w:w="1847" w:type="dxa"/>
            <w:vAlign w:val="center"/>
          </w:tcPr>
          <w:p w:rsidR="008E04A6" w:rsidRPr="00BC5D72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  <w:highlight w:val="lightGray"/>
              </w:rPr>
            </w:pPr>
          </w:p>
        </w:tc>
      </w:tr>
      <w:tr w:rsidR="008E04A6" w:rsidRPr="00BC5D72" w:rsidTr="008E04A6">
        <w:trPr>
          <w:trHeight w:val="397"/>
        </w:trPr>
        <w:tc>
          <w:tcPr>
            <w:tcW w:w="838" w:type="dxa"/>
            <w:vAlign w:val="center"/>
          </w:tcPr>
          <w:p w:rsidR="008E04A6" w:rsidRPr="009744F1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1.2.2.2</w:t>
            </w:r>
          </w:p>
        </w:tc>
        <w:tc>
          <w:tcPr>
            <w:tcW w:w="6387" w:type="dxa"/>
            <w:vAlign w:val="center"/>
          </w:tcPr>
          <w:p w:rsidR="008E04A6" w:rsidRPr="009744F1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Sonstiges Sachvermögen (nur Vorräte)</w:t>
            </w:r>
          </w:p>
        </w:tc>
        <w:tc>
          <w:tcPr>
            <w:tcW w:w="1847" w:type="dxa"/>
            <w:vAlign w:val="center"/>
          </w:tcPr>
          <w:p w:rsidR="008E04A6" w:rsidRPr="00BC5D72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  <w:highlight w:val="lightGray"/>
              </w:rPr>
            </w:pPr>
          </w:p>
        </w:tc>
      </w:tr>
      <w:tr w:rsidR="008E04A6" w:rsidRPr="00BC5D72" w:rsidTr="008E04A6">
        <w:trPr>
          <w:trHeight w:val="397"/>
        </w:trPr>
        <w:tc>
          <w:tcPr>
            <w:tcW w:w="838" w:type="dxa"/>
            <w:vAlign w:val="center"/>
          </w:tcPr>
          <w:p w:rsidR="008E04A6" w:rsidRPr="009744F1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1.2.3</w:t>
            </w:r>
          </w:p>
        </w:tc>
        <w:tc>
          <w:tcPr>
            <w:tcW w:w="6387" w:type="dxa"/>
            <w:vAlign w:val="center"/>
          </w:tcPr>
          <w:p w:rsidR="008E04A6" w:rsidRPr="009744F1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Geleistete Anzahlungen, Anlagen im Bau</w:t>
            </w:r>
          </w:p>
        </w:tc>
        <w:tc>
          <w:tcPr>
            <w:tcW w:w="1847" w:type="dxa"/>
            <w:vAlign w:val="center"/>
          </w:tcPr>
          <w:p w:rsidR="008E04A6" w:rsidRPr="00BC5D72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  <w:highlight w:val="lightGray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1.3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Finanzvermögen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RPr="00BC5D72" w:rsidTr="008E04A6">
        <w:trPr>
          <w:trHeight w:val="397"/>
        </w:trPr>
        <w:tc>
          <w:tcPr>
            <w:tcW w:w="838" w:type="dxa"/>
            <w:vAlign w:val="center"/>
          </w:tcPr>
          <w:p w:rsidR="008E04A6" w:rsidRPr="009744F1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 w:rsidRPr="009744F1">
              <w:rPr>
                <w:rFonts w:ascii="Arial" w:hAnsi="Arial" w:cs="Arial"/>
                <w:snapToGrid w:val="0"/>
              </w:rPr>
              <w:t>1.3.1</w:t>
            </w:r>
          </w:p>
        </w:tc>
        <w:tc>
          <w:tcPr>
            <w:tcW w:w="6387" w:type="dxa"/>
            <w:vAlign w:val="center"/>
          </w:tcPr>
          <w:p w:rsidR="008E04A6" w:rsidRPr="009744F1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 w:rsidRPr="009744F1">
              <w:rPr>
                <w:rFonts w:ascii="Arial" w:hAnsi="Arial" w:cs="Arial"/>
                <w:snapToGrid w:val="0"/>
              </w:rPr>
              <w:t>Verbundene Unternehmen, Beteiligungen, Sondervermögen</w:t>
            </w:r>
          </w:p>
        </w:tc>
        <w:tc>
          <w:tcPr>
            <w:tcW w:w="1847" w:type="dxa"/>
            <w:vAlign w:val="center"/>
          </w:tcPr>
          <w:p w:rsidR="008E04A6" w:rsidRPr="00BC5D72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  <w:highlight w:val="lightGray"/>
              </w:rPr>
            </w:pPr>
          </w:p>
        </w:tc>
      </w:tr>
      <w:tr w:rsidR="008E04A6" w:rsidRPr="00BC5D72" w:rsidTr="008E04A6">
        <w:trPr>
          <w:trHeight w:val="397"/>
        </w:trPr>
        <w:tc>
          <w:tcPr>
            <w:tcW w:w="838" w:type="dxa"/>
            <w:vAlign w:val="center"/>
          </w:tcPr>
          <w:p w:rsidR="008E04A6" w:rsidRPr="009744F1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 w:rsidRPr="009744F1">
              <w:rPr>
                <w:rFonts w:ascii="Arial" w:hAnsi="Arial" w:cs="Arial"/>
                <w:snapToGrid w:val="0"/>
              </w:rPr>
              <w:t>1.3.2</w:t>
            </w:r>
          </w:p>
        </w:tc>
        <w:tc>
          <w:tcPr>
            <w:tcW w:w="6387" w:type="dxa"/>
            <w:vAlign w:val="center"/>
            <w:hideMark/>
          </w:tcPr>
          <w:p w:rsidR="008E04A6" w:rsidRPr="009744F1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 w:rsidRPr="009744F1">
              <w:rPr>
                <w:rFonts w:ascii="Arial" w:hAnsi="Arial" w:cs="Arial"/>
                <w:snapToGrid w:val="0"/>
              </w:rPr>
              <w:t>Ausleihungen</w:t>
            </w:r>
          </w:p>
        </w:tc>
        <w:tc>
          <w:tcPr>
            <w:tcW w:w="1847" w:type="dxa"/>
            <w:vAlign w:val="center"/>
          </w:tcPr>
          <w:p w:rsidR="008E04A6" w:rsidRPr="00BC5D72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  <w:highlight w:val="lightGray"/>
              </w:rPr>
            </w:pPr>
          </w:p>
        </w:tc>
      </w:tr>
      <w:tr w:rsidR="008E04A6" w:rsidTr="008E04A6">
        <w:trPr>
          <w:trHeight w:val="397"/>
        </w:trPr>
        <w:tc>
          <w:tcPr>
            <w:tcW w:w="838" w:type="dxa"/>
            <w:vAlign w:val="center"/>
          </w:tcPr>
          <w:p w:rsidR="008E04A6" w:rsidRPr="008132D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1.3.3</w:t>
            </w:r>
          </w:p>
        </w:tc>
        <w:tc>
          <w:tcPr>
            <w:tcW w:w="6387" w:type="dxa"/>
            <w:vAlign w:val="center"/>
            <w:hideMark/>
          </w:tcPr>
          <w:p w:rsidR="008E04A6" w:rsidRPr="0045724D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Liquide Mittel, Einlagen und Wertpapiere</w:t>
            </w:r>
          </w:p>
        </w:tc>
        <w:tc>
          <w:tcPr>
            <w:tcW w:w="1847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E04A6" w:rsidTr="008E04A6">
        <w:trPr>
          <w:trHeight w:val="397"/>
        </w:trPr>
        <w:tc>
          <w:tcPr>
            <w:tcW w:w="838" w:type="dxa"/>
            <w:vAlign w:val="center"/>
          </w:tcPr>
          <w:p w:rsidR="008E04A6" w:rsidRPr="008132D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1.3.4</w:t>
            </w:r>
          </w:p>
        </w:tc>
        <w:tc>
          <w:tcPr>
            <w:tcW w:w="6387" w:type="dxa"/>
            <w:vAlign w:val="center"/>
            <w:hideMark/>
          </w:tcPr>
          <w:p w:rsidR="008E04A6" w:rsidRPr="0045724D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Öffentlich-rechtliche und privatrechtliche Forderungen</w:t>
            </w:r>
          </w:p>
        </w:tc>
        <w:tc>
          <w:tcPr>
            <w:tcW w:w="1847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Abgrenzungsposten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38" w:type="dxa"/>
            <w:vAlign w:val="center"/>
          </w:tcPr>
          <w:p w:rsidR="008E04A6" w:rsidRPr="009744F1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9744F1">
              <w:rPr>
                <w:rFonts w:ascii="Arial" w:hAnsi="Arial" w:cs="Arial"/>
                <w:snapToGrid w:val="0"/>
              </w:rPr>
              <w:t>2.1</w:t>
            </w:r>
          </w:p>
        </w:tc>
        <w:tc>
          <w:tcPr>
            <w:tcW w:w="6387" w:type="dxa"/>
            <w:vAlign w:val="center"/>
          </w:tcPr>
          <w:p w:rsidR="008E04A6" w:rsidRPr="009744F1" w:rsidRDefault="008E04A6" w:rsidP="001B649C">
            <w:pPr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9744F1">
              <w:rPr>
                <w:rFonts w:ascii="Arial" w:hAnsi="Arial" w:cs="Arial"/>
                <w:bCs/>
                <w:snapToGrid w:val="0"/>
              </w:rPr>
              <w:t>Aktive Rechnungsabgrenzungsposten</w:t>
            </w:r>
          </w:p>
        </w:tc>
        <w:tc>
          <w:tcPr>
            <w:tcW w:w="1847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E04A6" w:rsidTr="008E04A6">
        <w:trPr>
          <w:trHeight w:val="397"/>
        </w:trPr>
        <w:tc>
          <w:tcPr>
            <w:tcW w:w="838" w:type="dxa"/>
            <w:vAlign w:val="center"/>
          </w:tcPr>
          <w:p w:rsidR="008E04A6" w:rsidRPr="008132D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2.2</w:t>
            </w:r>
          </w:p>
        </w:tc>
        <w:tc>
          <w:tcPr>
            <w:tcW w:w="6387" w:type="dxa"/>
            <w:vAlign w:val="center"/>
          </w:tcPr>
          <w:p w:rsidR="008E04A6" w:rsidRPr="0045724D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Sonderposten für geleistete Investitionszuschüsse</w:t>
            </w:r>
          </w:p>
        </w:tc>
        <w:tc>
          <w:tcPr>
            <w:tcW w:w="1847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Sonstiges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4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2369A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Nettoposition </w:t>
            </w:r>
            <w:r>
              <w:rPr>
                <w:rFonts w:ascii="Arial" w:hAnsi="Arial" w:cs="Arial"/>
                <w:snapToGrid w:val="0"/>
              </w:rPr>
              <w:t>(nicht gedeckter Fehlbetrag)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D3406F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Bilanzsumme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</w:tbl>
    <w:p w:rsidR="008E04A6" w:rsidRDefault="008E04A6"/>
    <w:p w:rsidR="008E04A6" w:rsidRDefault="008E04A6">
      <w:pPr>
        <w:spacing w:after="160" w:line="259" w:lineRule="auto"/>
      </w:pPr>
      <w:r>
        <w:br w:type="page"/>
      </w: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837"/>
        <w:gridCol w:w="6302"/>
        <w:gridCol w:w="1933"/>
      </w:tblGrid>
      <w:tr w:rsidR="008E04A6" w:rsidTr="008E04A6">
        <w:trPr>
          <w:trHeight w:val="397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  <w:r w:rsidRPr="00D3406F">
              <w:rPr>
                <w:rFonts w:ascii="Arial" w:hAnsi="Arial" w:cs="Arial"/>
                <w:b/>
                <w:snapToGrid w:val="0"/>
              </w:rPr>
              <w:lastRenderedPageBreak/>
              <w:t>Gesamtvermögenslage</w:t>
            </w:r>
            <w:r>
              <w:rPr>
                <w:rFonts w:ascii="Arial" w:hAnsi="Arial" w:cs="Arial"/>
                <w:b/>
                <w:snapToGrid w:val="0"/>
              </w:rPr>
              <w:t xml:space="preserve"> – Passivseite</w:t>
            </w:r>
          </w:p>
        </w:tc>
      </w:tr>
      <w:tr w:rsidR="008E04A6" w:rsidRPr="00EE235D" w:rsidTr="008E04A6">
        <w:trPr>
          <w:trHeight w:val="3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Eigenkapital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Sonderposten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Rückstellungen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Verbindlichkeiten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8E04A6" w:rsidRPr="009744F1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9744F1">
              <w:rPr>
                <w:rFonts w:ascii="Arial" w:hAnsi="Arial" w:cs="Arial"/>
                <w:snapToGrid w:val="0"/>
              </w:rPr>
              <w:t>4.1</w:t>
            </w:r>
          </w:p>
        </w:tc>
        <w:tc>
          <w:tcPr>
            <w:tcW w:w="6380" w:type="dxa"/>
            <w:vAlign w:val="center"/>
          </w:tcPr>
          <w:p w:rsidR="008E04A6" w:rsidRPr="009744F1" w:rsidRDefault="008E04A6" w:rsidP="001B649C">
            <w:pPr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9744F1">
              <w:rPr>
                <w:rFonts w:ascii="Arial" w:hAnsi="Arial" w:cs="Arial"/>
                <w:bCs/>
                <w:snapToGrid w:val="0"/>
              </w:rPr>
              <w:t>Anleihen</w:t>
            </w:r>
          </w:p>
        </w:tc>
        <w:tc>
          <w:tcPr>
            <w:tcW w:w="1955" w:type="dxa"/>
            <w:vAlign w:val="center"/>
          </w:tcPr>
          <w:p w:rsidR="008E04A6" w:rsidRPr="009744F1" w:rsidRDefault="008E04A6" w:rsidP="001B649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E04A6" w:rsidTr="008E04A6">
        <w:trPr>
          <w:trHeight w:val="397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8E04A6" w:rsidRPr="004A4BCA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A4BCA">
              <w:rPr>
                <w:rFonts w:ascii="Arial" w:hAnsi="Arial" w:cs="Arial"/>
                <w:snapToGrid w:val="0"/>
              </w:rPr>
              <w:t>4.2</w:t>
            </w:r>
          </w:p>
        </w:tc>
        <w:tc>
          <w:tcPr>
            <w:tcW w:w="6380" w:type="dxa"/>
            <w:vAlign w:val="center"/>
          </w:tcPr>
          <w:p w:rsidR="008E04A6" w:rsidRPr="004A4BCA" w:rsidRDefault="008E04A6" w:rsidP="001B649C">
            <w:pPr>
              <w:spacing w:before="60" w:after="60"/>
              <w:rPr>
                <w:rFonts w:ascii="Arial" w:hAnsi="Arial" w:cs="Arial"/>
                <w:bCs/>
                <w:snapToGrid w:val="0"/>
              </w:rPr>
            </w:pPr>
            <w:r w:rsidRPr="004A4BCA">
              <w:rPr>
                <w:rFonts w:ascii="Arial" w:hAnsi="Arial" w:cs="Arial"/>
                <w:bCs/>
                <w:snapToGrid w:val="0"/>
              </w:rPr>
              <w:t>Verbindlichkeiten aus Kreditaufnahmen</w:t>
            </w:r>
          </w:p>
        </w:tc>
        <w:tc>
          <w:tcPr>
            <w:tcW w:w="1955" w:type="dxa"/>
            <w:vAlign w:val="center"/>
          </w:tcPr>
          <w:p w:rsidR="008E04A6" w:rsidRPr="004A4BCA" w:rsidRDefault="008E04A6" w:rsidP="001B649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E04A6" w:rsidTr="008E04A6">
        <w:trPr>
          <w:trHeight w:val="397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8E04A6" w:rsidRPr="008132D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4.3</w:t>
            </w:r>
          </w:p>
        </w:tc>
        <w:tc>
          <w:tcPr>
            <w:tcW w:w="6380" w:type="dxa"/>
            <w:vAlign w:val="center"/>
          </w:tcPr>
          <w:p w:rsidR="008E04A6" w:rsidRPr="00A92FBE" w:rsidRDefault="008E04A6" w:rsidP="001B649C">
            <w:pPr>
              <w:spacing w:before="60" w:after="60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Verbindlichkeiten, die Kreditaufnahmen wirtschaftlich gleichkommen</w:t>
            </w:r>
          </w:p>
        </w:tc>
        <w:tc>
          <w:tcPr>
            <w:tcW w:w="195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E04A6" w:rsidTr="008E04A6">
        <w:trPr>
          <w:trHeight w:val="397"/>
        </w:trPr>
        <w:tc>
          <w:tcPr>
            <w:tcW w:w="845" w:type="dxa"/>
            <w:tcBorders>
              <w:bottom w:val="single" w:sz="4" w:space="0" w:color="auto"/>
            </w:tcBorders>
          </w:tcPr>
          <w:p w:rsidR="008E04A6" w:rsidRPr="008132D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4.4</w:t>
            </w:r>
          </w:p>
        </w:tc>
        <w:tc>
          <w:tcPr>
            <w:tcW w:w="6380" w:type="dxa"/>
          </w:tcPr>
          <w:p w:rsidR="008E04A6" w:rsidRPr="00A92FBE" w:rsidRDefault="008E04A6" w:rsidP="001B649C">
            <w:pPr>
              <w:spacing w:before="60" w:after="60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Verbindlichkeiten aus Lieferungen und Leistungen und sonstige Verbindlichkeiten</w:t>
            </w:r>
          </w:p>
        </w:tc>
        <w:tc>
          <w:tcPr>
            <w:tcW w:w="195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Passive Rechnungsabgrenzungsposten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Sonstiges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D3406F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Bilanzsumme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</w:tbl>
    <w:p w:rsidR="008E04A6" w:rsidRDefault="008E04A6"/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837"/>
        <w:gridCol w:w="6302"/>
        <w:gridCol w:w="1933"/>
      </w:tblGrid>
      <w:tr w:rsidR="008E04A6" w:rsidTr="008E04A6">
        <w:trPr>
          <w:trHeight w:val="397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Gesamtertragslage</w:t>
            </w:r>
          </w:p>
        </w:tc>
      </w:tr>
      <w:tr w:rsidR="008E04A6" w:rsidTr="008E04A6">
        <w:trPr>
          <w:trHeight w:val="397"/>
        </w:trPr>
        <w:tc>
          <w:tcPr>
            <w:tcW w:w="845" w:type="dxa"/>
            <w:vAlign w:val="center"/>
          </w:tcPr>
          <w:p w:rsidR="008E04A6" w:rsidRPr="008132D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6380" w:type="dxa"/>
            <w:vAlign w:val="center"/>
            <w:hideMark/>
          </w:tcPr>
          <w:p w:rsidR="008E04A6" w:rsidRPr="0045724D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Steuern, ähnliche Abgaben, allgemeine Zuweisungen</w:t>
            </w:r>
          </w:p>
        </w:tc>
        <w:tc>
          <w:tcPr>
            <w:tcW w:w="195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45" w:type="dxa"/>
            <w:vAlign w:val="center"/>
          </w:tcPr>
          <w:p w:rsidR="008E04A6" w:rsidRPr="008132D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6380" w:type="dxa"/>
            <w:vAlign w:val="center"/>
            <w:hideMark/>
          </w:tcPr>
          <w:p w:rsidR="008E04A6" w:rsidRPr="0045724D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lfd. Zuwendungen, Transfererträge</w:t>
            </w:r>
          </w:p>
        </w:tc>
        <w:tc>
          <w:tcPr>
            <w:tcW w:w="195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4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6380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Erträge aus der Auflösung von Sonderposten</w:t>
            </w:r>
          </w:p>
        </w:tc>
        <w:tc>
          <w:tcPr>
            <w:tcW w:w="195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4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6380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Gebühren und Entgelte</w:t>
            </w:r>
          </w:p>
        </w:tc>
        <w:tc>
          <w:tcPr>
            <w:tcW w:w="195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4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6380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Zinsen und ähnliche Erträge</w:t>
            </w:r>
          </w:p>
        </w:tc>
        <w:tc>
          <w:tcPr>
            <w:tcW w:w="195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45" w:type="dxa"/>
            <w:vAlign w:val="center"/>
          </w:tcPr>
          <w:p w:rsidR="008E04A6" w:rsidRPr="008132D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6380" w:type="dxa"/>
            <w:vAlign w:val="center"/>
            <w:hideMark/>
          </w:tcPr>
          <w:p w:rsidR="008E04A6" w:rsidRPr="0045724D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Sonstige Erträge</w:t>
            </w:r>
          </w:p>
        </w:tc>
        <w:tc>
          <w:tcPr>
            <w:tcW w:w="195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Gesamterträge (Summe aus Nummern 1 bis 6)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45" w:type="dxa"/>
            <w:vAlign w:val="center"/>
          </w:tcPr>
          <w:p w:rsidR="008E04A6" w:rsidRPr="008132D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</w:t>
            </w:r>
          </w:p>
        </w:tc>
        <w:tc>
          <w:tcPr>
            <w:tcW w:w="6380" w:type="dxa"/>
            <w:vAlign w:val="center"/>
            <w:hideMark/>
          </w:tcPr>
          <w:p w:rsidR="008E04A6" w:rsidRPr="0045724D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Personal- und Versorgungsaufwendungen</w:t>
            </w:r>
          </w:p>
        </w:tc>
        <w:tc>
          <w:tcPr>
            <w:tcW w:w="195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45" w:type="dxa"/>
            <w:vAlign w:val="center"/>
          </w:tcPr>
          <w:p w:rsidR="008E04A6" w:rsidRPr="008132D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</w:t>
            </w:r>
          </w:p>
        </w:tc>
        <w:tc>
          <w:tcPr>
            <w:tcW w:w="6380" w:type="dxa"/>
            <w:vAlign w:val="center"/>
            <w:hideMark/>
          </w:tcPr>
          <w:p w:rsidR="008E04A6" w:rsidRPr="0045724D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Aufwendungen für Zuwendungen und Umlagen</w:t>
            </w:r>
          </w:p>
        </w:tc>
        <w:tc>
          <w:tcPr>
            <w:tcW w:w="195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4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</w:p>
        </w:tc>
        <w:tc>
          <w:tcPr>
            <w:tcW w:w="6380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Abschreibungen und ähnliche Aufwendungen</w:t>
            </w:r>
          </w:p>
        </w:tc>
        <w:tc>
          <w:tcPr>
            <w:tcW w:w="195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4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</w:t>
            </w:r>
          </w:p>
        </w:tc>
        <w:tc>
          <w:tcPr>
            <w:tcW w:w="6380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Zinsen und ähnliche Aufwendungen</w:t>
            </w:r>
          </w:p>
        </w:tc>
        <w:tc>
          <w:tcPr>
            <w:tcW w:w="195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45" w:type="dxa"/>
            <w:vAlign w:val="center"/>
          </w:tcPr>
          <w:p w:rsidR="008E04A6" w:rsidRPr="008132D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6380" w:type="dxa"/>
            <w:vAlign w:val="center"/>
            <w:hideMark/>
          </w:tcPr>
          <w:p w:rsidR="008E04A6" w:rsidRPr="0045724D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Sonstige Aufwendungen</w:t>
            </w:r>
          </w:p>
        </w:tc>
        <w:tc>
          <w:tcPr>
            <w:tcW w:w="195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Gesamtaufwendungen (Summe aus Nummern 8 bis 12)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Ordentliches Ergebnis (Saldo aus Nummern 7 und 13)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45" w:type="dxa"/>
            <w:vAlign w:val="center"/>
          </w:tcPr>
          <w:p w:rsidR="008E04A6" w:rsidRPr="008132D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</w:t>
            </w:r>
          </w:p>
        </w:tc>
        <w:tc>
          <w:tcPr>
            <w:tcW w:w="6380" w:type="dxa"/>
            <w:vAlign w:val="center"/>
            <w:hideMark/>
          </w:tcPr>
          <w:p w:rsidR="008E04A6" w:rsidRPr="0045724D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Außerordentliche Erträge</w:t>
            </w:r>
          </w:p>
        </w:tc>
        <w:tc>
          <w:tcPr>
            <w:tcW w:w="195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45" w:type="dxa"/>
            <w:vAlign w:val="center"/>
          </w:tcPr>
          <w:p w:rsidR="008E04A6" w:rsidRPr="008132D6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</w:t>
            </w:r>
          </w:p>
        </w:tc>
        <w:tc>
          <w:tcPr>
            <w:tcW w:w="6380" w:type="dxa"/>
            <w:vAlign w:val="center"/>
            <w:hideMark/>
          </w:tcPr>
          <w:p w:rsidR="008E04A6" w:rsidRPr="0045724D" w:rsidRDefault="008E04A6" w:rsidP="001B649C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Außerordentliche Aufwendungen</w:t>
            </w:r>
          </w:p>
        </w:tc>
        <w:tc>
          <w:tcPr>
            <w:tcW w:w="1955" w:type="dxa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Sonderergebnis (Saldo aus Nummern 15 und 16)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t>Gesamtergebnis (Summe aus Nummern 14 und 17)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</w:tbl>
    <w:p w:rsidR="008E04A6" w:rsidRDefault="008E04A6"/>
    <w:p w:rsidR="008E04A6" w:rsidRDefault="008E04A6">
      <w:pPr>
        <w:spacing w:after="160" w:line="259" w:lineRule="auto"/>
      </w:pPr>
      <w:r>
        <w:br w:type="page"/>
      </w: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838"/>
        <w:gridCol w:w="6245"/>
        <w:gridCol w:w="1989"/>
      </w:tblGrid>
      <w:tr w:rsidR="008E04A6" w:rsidTr="008E04A6">
        <w:trPr>
          <w:trHeight w:val="39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</w:rPr>
              <w:lastRenderedPageBreak/>
              <w:t>G</w:t>
            </w:r>
            <w:bookmarkStart w:id="0" w:name="_GoBack"/>
            <w:bookmarkEnd w:id="0"/>
            <w:r>
              <w:rPr>
                <w:rFonts w:ascii="Arial" w:hAnsi="Arial" w:cs="Arial"/>
                <w:b/>
                <w:snapToGrid w:val="0"/>
              </w:rPr>
              <w:t>esamtfinanz</w:t>
            </w:r>
            <w:r w:rsidRPr="00D3406F">
              <w:rPr>
                <w:rFonts w:ascii="Arial" w:hAnsi="Arial" w:cs="Arial"/>
                <w:b/>
                <w:snapToGrid w:val="0"/>
              </w:rPr>
              <w:t>lage</w:t>
            </w:r>
            <w:r>
              <w:rPr>
                <w:rFonts w:ascii="Arial" w:hAnsi="Arial" w:cs="Arial"/>
                <w:b/>
                <w:snapToGrid w:val="0"/>
              </w:rPr>
              <w:t xml:space="preserve"> – Kennzahlen</w:t>
            </w:r>
          </w:p>
        </w:tc>
      </w:tr>
      <w:tr w:rsidR="008E04A6" w:rsidTr="008E04A6">
        <w:trPr>
          <w:trHeight w:val="397"/>
        </w:trPr>
        <w:tc>
          <w:tcPr>
            <w:tcW w:w="9072" w:type="dxa"/>
            <w:gridSpan w:val="3"/>
            <w:vAlign w:val="center"/>
          </w:tcPr>
          <w:p w:rsidR="008E04A6" w:rsidRPr="001874C0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  <w:spacing w:val="-6"/>
              </w:rPr>
              <w:t>Veränderung der Zahlungsmittel aus der laufenden Verwaltungs- und Geschäftstätigkeit (+/-)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9072" w:type="dxa"/>
            <w:gridSpan w:val="3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  <w:spacing w:val="-6"/>
              </w:rPr>
              <w:t>Investitionen und Investitionsförderungsmaßnahmen</w:t>
            </w:r>
          </w:p>
        </w:tc>
      </w:tr>
      <w:tr w:rsidR="008E04A6" w:rsidRPr="00EE235D" w:rsidTr="008E04A6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2a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  <w:spacing w:val="-6"/>
              </w:rPr>
              <w:t>Investitionen und Investitionsförderungsmaßnahmen (gesamt)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2b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  <w:spacing w:val="-6"/>
              </w:rPr>
              <w:t>Investitionen und Investitionsförderungsmaßnahmen (ohne passive Sonderposten)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9072" w:type="dxa"/>
            <w:gridSpan w:val="3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  <w:spacing w:val="-6"/>
              </w:rPr>
              <w:t>Reinvestitionsquote</w:t>
            </w:r>
          </w:p>
        </w:tc>
      </w:tr>
      <w:tr w:rsidR="008E04A6" w:rsidRPr="00EE235D" w:rsidTr="008E04A6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3a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  <w:spacing w:val="-6"/>
              </w:rPr>
              <w:t>Reinvestitionsquote (gesamt)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3b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  <w:spacing w:val="-6"/>
              </w:rPr>
              <w:t>Reinvestitionsquote (ohne passive Sonderposten)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9072" w:type="dxa"/>
            <w:gridSpan w:val="3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4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  <w:spacing w:val="-6"/>
              </w:rPr>
              <w:t xml:space="preserve">Nettokreditaufnahme am Kreditmarkt </w:t>
            </w:r>
            <w:r>
              <w:rPr>
                <w:rFonts w:ascii="Arial" w:hAnsi="Arial" w:cs="Arial"/>
                <w:snapToGrid w:val="0"/>
                <w:spacing w:val="-6"/>
              </w:rPr>
              <w:t>(Kreditaufnahmen abzüglich Kredittilgungen)</w:t>
            </w:r>
            <w:r>
              <w:rPr>
                <w:rFonts w:ascii="Arial" w:hAnsi="Arial" w:cs="Arial"/>
                <w:b/>
                <w:snapToGrid w:val="0"/>
                <w:spacing w:val="-6"/>
              </w:rPr>
              <w:t xml:space="preserve"> (+/-)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9072" w:type="dxa"/>
            <w:gridSpan w:val="3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  <w:spacing w:val="-6"/>
              </w:rPr>
              <w:t>Veränderung des Bestands an liquiden Mitteln und angelegten Kassenmitteln (+/-)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8E04A6" w:rsidTr="008E04A6">
        <w:trPr>
          <w:trHeight w:val="397"/>
        </w:trPr>
        <w:tc>
          <w:tcPr>
            <w:tcW w:w="9072" w:type="dxa"/>
            <w:gridSpan w:val="3"/>
            <w:vAlign w:val="center"/>
          </w:tcPr>
          <w:p w:rsidR="008E04A6" w:rsidRDefault="008E04A6" w:rsidP="001B649C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8E04A6" w:rsidRPr="00EE235D" w:rsidTr="008E04A6">
        <w:trPr>
          <w:trHeight w:val="3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8132D6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6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  <w:r>
              <w:rPr>
                <w:rFonts w:ascii="Arial" w:hAnsi="Arial" w:cs="Arial"/>
                <w:b/>
                <w:snapToGrid w:val="0"/>
                <w:spacing w:val="-6"/>
              </w:rPr>
              <w:t>Nettoinvestitionsfinanzierungsmittel (+/-)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04A6" w:rsidRPr="00EE235D" w:rsidRDefault="008E04A6" w:rsidP="001B649C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</w:tbl>
    <w:p w:rsidR="008E04A6" w:rsidRDefault="008E04A6"/>
    <w:sectPr w:rsidR="008E04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A6" w:rsidRDefault="008E04A6" w:rsidP="008E04A6">
      <w:r>
        <w:separator/>
      </w:r>
    </w:p>
  </w:endnote>
  <w:endnote w:type="continuationSeparator" w:id="0">
    <w:p w:rsidR="008E04A6" w:rsidRDefault="008E04A6" w:rsidP="008E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A6" w:rsidRDefault="008E04A6" w:rsidP="008E04A6">
      <w:r>
        <w:separator/>
      </w:r>
    </w:p>
  </w:footnote>
  <w:footnote w:type="continuationSeparator" w:id="0">
    <w:p w:rsidR="008E04A6" w:rsidRDefault="008E04A6" w:rsidP="008E04A6">
      <w:r>
        <w:continuationSeparator/>
      </w:r>
    </w:p>
  </w:footnote>
  <w:footnote w:id="1">
    <w:p w:rsidR="008E04A6" w:rsidRDefault="008E04A6" w:rsidP="008E04A6">
      <w:pPr>
        <w:pStyle w:val="Funotentext"/>
      </w:pPr>
      <w:r w:rsidRPr="00FC5F19">
        <w:rPr>
          <w:rStyle w:val="Funotenzeichen"/>
        </w:rPr>
        <w:footnoteRef/>
      </w:r>
      <w:r>
        <w:t xml:space="preserve"> </w:t>
      </w:r>
      <w:r>
        <w:tab/>
      </w:r>
      <w:r>
        <w:t>E</w:t>
      </w:r>
      <w:r w:rsidRPr="00FC5F19">
        <w:t xml:space="preserve">ntsprechend Nummer 1.4 der </w:t>
      </w:r>
      <w:proofErr w:type="spellStart"/>
      <w:r w:rsidRPr="00FC5F19">
        <w:t>VwV</w:t>
      </w:r>
      <w:proofErr w:type="spellEnd"/>
      <w:r w:rsidRPr="00FC5F19">
        <w:t xml:space="preserve"> Produkt- und Kontenrahmen </w:t>
      </w:r>
      <w:r>
        <w:t xml:space="preserve">können </w:t>
      </w:r>
      <w:r w:rsidRPr="00FC5F19">
        <w:t>Tabellenzeilen und -spalten o</w:t>
      </w:r>
      <w:r>
        <w:t>hne Wertangaben entfallen</w:t>
      </w:r>
      <w:r w:rsidRPr="00FC5F1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A6"/>
    <w:rsid w:val="0013555D"/>
    <w:rsid w:val="00402C70"/>
    <w:rsid w:val="00806059"/>
    <w:rsid w:val="008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058A"/>
  <w15:chartTrackingRefBased/>
  <w15:docId w15:val="{7EDDA1ED-C6BF-4C8E-9351-F356CF71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04A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qFormat/>
    <w:rsid w:val="0013555D"/>
    <w:pPr>
      <w:keepNext/>
      <w:keepLines/>
      <w:numPr>
        <w:numId w:val="9"/>
      </w:numPr>
      <w:tabs>
        <w:tab w:val="left" w:pos="425"/>
      </w:tabs>
      <w:spacing w:after="240" w:line="360" w:lineRule="atLeast"/>
      <w:outlineLvl w:val="0"/>
    </w:pPr>
    <w:rPr>
      <w:rFonts w:ascii="Arial" w:eastAsia="Times New Roman" w:hAnsi="Arial"/>
      <w:b/>
      <w:kern w:val="28"/>
      <w:sz w:val="28"/>
      <w:lang w:eastAsia="de-DE"/>
    </w:rPr>
  </w:style>
  <w:style w:type="paragraph" w:styleId="berschrift2">
    <w:name w:val="heading 2"/>
    <w:basedOn w:val="berschrift1"/>
    <w:next w:val="Textkrper"/>
    <w:link w:val="berschrift2Zchn"/>
    <w:qFormat/>
    <w:rsid w:val="0013555D"/>
    <w:pPr>
      <w:numPr>
        <w:ilvl w:val="1"/>
      </w:numPr>
      <w:tabs>
        <w:tab w:val="clear" w:pos="425"/>
        <w:tab w:val="left" w:pos="567"/>
      </w:tabs>
      <w:spacing w:after="160"/>
      <w:outlineLvl w:val="1"/>
    </w:pPr>
    <w:rPr>
      <w:kern w:val="0"/>
      <w:sz w:val="24"/>
    </w:rPr>
  </w:style>
  <w:style w:type="paragraph" w:styleId="berschrift3">
    <w:name w:val="heading 3"/>
    <w:basedOn w:val="berschrift1"/>
    <w:next w:val="Textkrper"/>
    <w:link w:val="berschrift3Zchn"/>
    <w:qFormat/>
    <w:rsid w:val="0013555D"/>
    <w:pPr>
      <w:numPr>
        <w:ilvl w:val="2"/>
      </w:numPr>
      <w:tabs>
        <w:tab w:val="clear" w:pos="425"/>
        <w:tab w:val="left" w:pos="709"/>
      </w:tabs>
      <w:spacing w:after="120"/>
      <w:outlineLvl w:val="2"/>
    </w:pPr>
    <w:rPr>
      <w:kern w:val="0"/>
      <w:sz w:val="22"/>
    </w:rPr>
  </w:style>
  <w:style w:type="paragraph" w:styleId="berschrift4">
    <w:name w:val="heading 4"/>
    <w:basedOn w:val="berschrift1"/>
    <w:next w:val="Textkrper"/>
    <w:link w:val="berschrift4Zchn"/>
    <w:qFormat/>
    <w:rsid w:val="0013555D"/>
    <w:pPr>
      <w:numPr>
        <w:ilvl w:val="3"/>
      </w:numPr>
      <w:tabs>
        <w:tab w:val="clear" w:pos="425"/>
        <w:tab w:val="left" w:pos="851"/>
      </w:tabs>
      <w:spacing w:after="120"/>
      <w:outlineLvl w:val="3"/>
    </w:pPr>
    <w:rPr>
      <w:kern w:val="0"/>
      <w:sz w:val="22"/>
    </w:rPr>
  </w:style>
  <w:style w:type="paragraph" w:styleId="berschrift5">
    <w:name w:val="heading 5"/>
    <w:basedOn w:val="berschrift4"/>
    <w:next w:val="Textkrper"/>
    <w:link w:val="berschrift5Zchn"/>
    <w:qFormat/>
    <w:rsid w:val="0013555D"/>
    <w:pPr>
      <w:numPr>
        <w:ilvl w:val="4"/>
      </w:numPr>
      <w:outlineLvl w:val="4"/>
    </w:pPr>
  </w:style>
  <w:style w:type="paragraph" w:styleId="berschrift6">
    <w:name w:val="heading 6"/>
    <w:basedOn w:val="berschrift4"/>
    <w:next w:val="Textkrper"/>
    <w:link w:val="berschrift6Zchn"/>
    <w:qFormat/>
    <w:rsid w:val="0013555D"/>
    <w:pPr>
      <w:numPr>
        <w:ilvl w:val="5"/>
      </w:numPr>
      <w:outlineLvl w:val="5"/>
    </w:pPr>
  </w:style>
  <w:style w:type="paragraph" w:styleId="berschrift7">
    <w:name w:val="heading 7"/>
    <w:basedOn w:val="berschrift4"/>
    <w:next w:val="Textkrper"/>
    <w:link w:val="berschrift7Zchn"/>
    <w:qFormat/>
    <w:rsid w:val="0013555D"/>
    <w:pPr>
      <w:numPr>
        <w:ilvl w:val="6"/>
      </w:numPr>
      <w:outlineLvl w:val="6"/>
    </w:pPr>
  </w:style>
  <w:style w:type="paragraph" w:styleId="berschrift8">
    <w:name w:val="heading 8"/>
    <w:basedOn w:val="berschrift4"/>
    <w:next w:val="Textkrper"/>
    <w:link w:val="berschrift8Zchn"/>
    <w:qFormat/>
    <w:rsid w:val="0013555D"/>
    <w:pPr>
      <w:numPr>
        <w:ilvl w:val="7"/>
      </w:numPr>
      <w:outlineLvl w:val="7"/>
    </w:pPr>
  </w:style>
  <w:style w:type="paragraph" w:styleId="berschrift9">
    <w:name w:val="heading 9"/>
    <w:basedOn w:val="berschrift4"/>
    <w:next w:val="Textkrper"/>
    <w:link w:val="berschrift9Zchn"/>
    <w:qFormat/>
    <w:rsid w:val="0013555D"/>
    <w:pPr>
      <w:numPr>
        <w:ilvl w:val="8"/>
      </w:numPr>
      <w:tabs>
        <w:tab w:val="num" w:pos="36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13555D"/>
    <w:pPr>
      <w:spacing w:after="240" w:line="280" w:lineRule="atLeast"/>
    </w:pPr>
    <w:rPr>
      <w:rFonts w:ascii="Arial" w:eastAsia="Times New Roman" w:hAnsi="Arial"/>
      <w:sz w:val="22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3555D"/>
    <w:rPr>
      <w:rFonts w:ascii="Arial" w:eastAsia="Times New Roman" w:hAnsi="Arial" w:cs="Times New Roman"/>
      <w:szCs w:val="20"/>
      <w:lang w:eastAsia="de-DE"/>
    </w:rPr>
  </w:style>
  <w:style w:type="paragraph" w:customStyle="1" w:styleId="Anlagenhinweis">
    <w:name w:val="Anlagenhinweis"/>
    <w:basedOn w:val="Standard"/>
    <w:next w:val="Textkrper"/>
    <w:rsid w:val="0013555D"/>
    <w:pPr>
      <w:spacing w:line="280" w:lineRule="atLeast"/>
    </w:pPr>
    <w:rPr>
      <w:rFonts w:ascii="Arial" w:eastAsia="Times New Roman" w:hAnsi="Arial"/>
      <w:b/>
      <w:sz w:val="22"/>
      <w:lang w:eastAsia="de-DE"/>
    </w:rPr>
  </w:style>
  <w:style w:type="paragraph" w:customStyle="1" w:styleId="Betreff">
    <w:name w:val="Betreff"/>
    <w:basedOn w:val="Standard"/>
    <w:next w:val="Textkrper"/>
    <w:rsid w:val="0013555D"/>
    <w:pPr>
      <w:spacing w:line="280" w:lineRule="atLeast"/>
    </w:pPr>
    <w:rPr>
      <w:rFonts w:ascii="Arial" w:eastAsia="Times New Roman" w:hAnsi="Arial"/>
      <w:b/>
      <w:sz w:val="22"/>
      <w:lang w:eastAsia="de-DE"/>
    </w:rPr>
  </w:style>
  <w:style w:type="paragraph" w:styleId="Funotentext">
    <w:name w:val="footnote text"/>
    <w:basedOn w:val="Standard"/>
    <w:link w:val="FunotentextZchn"/>
    <w:semiHidden/>
    <w:rsid w:val="0013555D"/>
    <w:pPr>
      <w:tabs>
        <w:tab w:val="left" w:pos="187"/>
      </w:tabs>
      <w:spacing w:after="120"/>
      <w:ind w:left="187" w:hanging="187"/>
    </w:pPr>
    <w:rPr>
      <w:rFonts w:ascii="Arial" w:eastAsia="Times New Roman" w:hAnsi="Arial"/>
      <w:sz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3555D"/>
    <w:rPr>
      <w:rFonts w:ascii="Arial" w:eastAsia="Times New Roman" w:hAnsi="Arial" w:cs="Times New Roman"/>
      <w:sz w:val="16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13555D"/>
    <w:rPr>
      <w:vertAlign w:val="superscript"/>
    </w:rPr>
  </w:style>
  <w:style w:type="paragraph" w:styleId="Kopfzeile">
    <w:name w:val="header"/>
    <w:basedOn w:val="Standard"/>
    <w:link w:val="KopfzeileZchn"/>
    <w:rsid w:val="0013555D"/>
    <w:pPr>
      <w:tabs>
        <w:tab w:val="center" w:pos="4536"/>
        <w:tab w:val="right" w:pos="9072"/>
      </w:tabs>
      <w:spacing w:line="280" w:lineRule="atLeast"/>
    </w:pPr>
    <w:rPr>
      <w:rFonts w:ascii="Arial" w:eastAsia="Times New Roman" w:hAnsi="Arial"/>
      <w:sz w:val="22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13555D"/>
    <w:rPr>
      <w:rFonts w:ascii="Arial" w:eastAsia="Times New Roman" w:hAnsi="Arial" w:cs="Times New Roman"/>
      <w:szCs w:val="20"/>
      <w:lang w:eastAsia="de-DE"/>
    </w:rPr>
  </w:style>
  <w:style w:type="paragraph" w:customStyle="1" w:styleId="Randnr">
    <w:name w:val="Randnr."/>
    <w:basedOn w:val="Textkrper"/>
    <w:next w:val="Textkrper"/>
    <w:rsid w:val="0013555D"/>
    <w:pPr>
      <w:tabs>
        <w:tab w:val="right" w:pos="-567"/>
      </w:tabs>
      <w:spacing w:after="120"/>
      <w:ind w:hanging="1985"/>
    </w:pPr>
  </w:style>
  <w:style w:type="character" w:styleId="Seitenzahl">
    <w:name w:val="page number"/>
    <w:basedOn w:val="Absatz-Standardschriftart"/>
    <w:rsid w:val="0013555D"/>
    <w:rPr>
      <w:rFonts w:ascii="Arial" w:hAnsi="Arial"/>
      <w:sz w:val="22"/>
    </w:rPr>
  </w:style>
  <w:style w:type="paragraph" w:styleId="Titel">
    <w:name w:val="Title"/>
    <w:basedOn w:val="Standard"/>
    <w:next w:val="Textkrper"/>
    <w:link w:val="TitelZchn"/>
    <w:qFormat/>
    <w:rsid w:val="0013555D"/>
    <w:pPr>
      <w:spacing w:after="480" w:line="360" w:lineRule="atLeast"/>
    </w:pPr>
    <w:rPr>
      <w:rFonts w:ascii="Arial" w:eastAsia="Times New Roman" w:hAnsi="Arial"/>
      <w:b/>
      <w:sz w:val="32"/>
      <w:lang w:eastAsia="de-DE"/>
    </w:rPr>
  </w:style>
  <w:style w:type="character" w:customStyle="1" w:styleId="TitelZchn">
    <w:name w:val="Titel Zchn"/>
    <w:basedOn w:val="Absatz-Standardschriftart"/>
    <w:link w:val="Titel"/>
    <w:rsid w:val="0013555D"/>
    <w:rPr>
      <w:rFonts w:ascii="Arial" w:eastAsia="Times New Roman" w:hAnsi="Arial" w:cs="Times New Roman"/>
      <w:b/>
      <w:sz w:val="32"/>
      <w:szCs w:val="20"/>
      <w:lang w:eastAsia="de-DE"/>
    </w:rPr>
  </w:style>
  <w:style w:type="paragraph" w:customStyle="1" w:styleId="berOhneVerz1">
    <w:name w:val="ÜberOhneVerz 1"/>
    <w:basedOn w:val="Standard"/>
    <w:next w:val="Textkrper"/>
    <w:rsid w:val="0013555D"/>
    <w:pPr>
      <w:keepNext/>
      <w:keepLines/>
      <w:tabs>
        <w:tab w:val="left" w:pos="425"/>
      </w:tabs>
      <w:spacing w:after="240" w:line="360" w:lineRule="atLeast"/>
      <w:ind w:left="425" w:hanging="425"/>
    </w:pPr>
    <w:rPr>
      <w:rFonts w:ascii="Arial" w:eastAsia="Times New Roman" w:hAnsi="Arial"/>
      <w:b/>
      <w:sz w:val="28"/>
      <w:lang w:eastAsia="de-DE"/>
    </w:rPr>
  </w:style>
  <w:style w:type="paragraph" w:customStyle="1" w:styleId="berOhneVerz2">
    <w:name w:val="ÜberOhneVerz 2"/>
    <w:basedOn w:val="berOhneVerz1"/>
    <w:next w:val="Textkrper"/>
    <w:rsid w:val="0013555D"/>
    <w:pPr>
      <w:tabs>
        <w:tab w:val="clear" w:pos="425"/>
        <w:tab w:val="left" w:pos="567"/>
      </w:tabs>
      <w:spacing w:after="160"/>
      <w:ind w:left="567" w:hanging="567"/>
    </w:pPr>
    <w:rPr>
      <w:sz w:val="24"/>
    </w:rPr>
  </w:style>
  <w:style w:type="paragraph" w:customStyle="1" w:styleId="berOhneVerz3">
    <w:name w:val="ÜberOhneVerz 3"/>
    <w:basedOn w:val="berOhneVerz1"/>
    <w:next w:val="Textkrper"/>
    <w:rsid w:val="0013555D"/>
    <w:pPr>
      <w:tabs>
        <w:tab w:val="clear" w:pos="425"/>
        <w:tab w:val="left" w:pos="709"/>
      </w:tabs>
      <w:spacing w:after="120"/>
      <w:ind w:left="709" w:hanging="709"/>
    </w:pPr>
    <w:rPr>
      <w:sz w:val="22"/>
    </w:rPr>
  </w:style>
  <w:style w:type="character" w:customStyle="1" w:styleId="berschrift1Zchn">
    <w:name w:val="Überschrift 1 Zchn"/>
    <w:basedOn w:val="Absatz-Standardschriftart"/>
    <w:link w:val="berschrift1"/>
    <w:rsid w:val="0013555D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3555D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3555D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3555D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3555D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3555D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3555D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3555D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3555D"/>
    <w:rPr>
      <w:rFonts w:ascii="Arial" w:eastAsia="Times New Roman" w:hAnsi="Arial" w:cs="Times New Roman"/>
      <w:b/>
      <w:szCs w:val="20"/>
      <w:lang w:eastAsia="de-DE"/>
    </w:rPr>
  </w:style>
  <w:style w:type="paragraph" w:styleId="Verzeichnis1">
    <w:name w:val="toc 1"/>
    <w:basedOn w:val="Standard"/>
    <w:next w:val="Textkrper"/>
    <w:semiHidden/>
    <w:rsid w:val="0013555D"/>
    <w:pPr>
      <w:keepNext/>
      <w:keepLines/>
      <w:tabs>
        <w:tab w:val="right" w:pos="8788"/>
      </w:tabs>
      <w:spacing w:before="360" w:line="280" w:lineRule="atLeast"/>
      <w:ind w:left="601" w:hanging="601"/>
    </w:pPr>
    <w:rPr>
      <w:rFonts w:ascii="Arial" w:eastAsia="Times New Roman" w:hAnsi="Arial"/>
      <w:b/>
      <w:sz w:val="24"/>
      <w:lang w:eastAsia="de-DE"/>
    </w:rPr>
  </w:style>
  <w:style w:type="paragraph" w:styleId="Verzeichnis2">
    <w:name w:val="toc 2"/>
    <w:basedOn w:val="Verzeichnis1"/>
    <w:next w:val="Textkrper"/>
    <w:semiHidden/>
    <w:rsid w:val="0013555D"/>
    <w:pPr>
      <w:spacing w:before="120"/>
    </w:pPr>
    <w:rPr>
      <w:b w:val="0"/>
      <w:sz w:val="20"/>
    </w:rPr>
  </w:style>
  <w:style w:type="paragraph" w:styleId="Verzeichnis3">
    <w:name w:val="toc 3"/>
    <w:basedOn w:val="Verzeichnis1"/>
    <w:next w:val="Textkrper"/>
    <w:semiHidden/>
    <w:rsid w:val="0013555D"/>
    <w:pPr>
      <w:spacing w:before="0"/>
      <w:ind w:left="600" w:hanging="600"/>
    </w:pPr>
    <w:rPr>
      <w:b w:val="0"/>
      <w:sz w:val="20"/>
    </w:rPr>
  </w:style>
  <w:style w:type="paragraph" w:styleId="Verzeichnis4">
    <w:name w:val="toc 4"/>
    <w:basedOn w:val="Verzeichnis1"/>
    <w:next w:val="Textkrper"/>
    <w:semiHidden/>
    <w:rsid w:val="0013555D"/>
    <w:pPr>
      <w:spacing w:before="0"/>
    </w:pPr>
    <w:rPr>
      <w:b w:val="0"/>
      <w:sz w:val="20"/>
    </w:rPr>
  </w:style>
  <w:style w:type="paragraph" w:styleId="Verzeichnis5">
    <w:name w:val="toc 5"/>
    <w:basedOn w:val="Verzeichnis4"/>
    <w:next w:val="Textkrper"/>
    <w:semiHidden/>
    <w:rsid w:val="0013555D"/>
  </w:style>
  <w:style w:type="paragraph" w:styleId="Verzeichnis6">
    <w:name w:val="toc 6"/>
    <w:basedOn w:val="Verzeichnis4"/>
    <w:next w:val="Textkrper"/>
    <w:semiHidden/>
    <w:rsid w:val="0013555D"/>
  </w:style>
  <w:style w:type="paragraph" w:styleId="Verzeichnis7">
    <w:name w:val="toc 7"/>
    <w:basedOn w:val="Verzeichnis4"/>
    <w:next w:val="Textkrper"/>
    <w:semiHidden/>
    <w:rsid w:val="0013555D"/>
  </w:style>
  <w:style w:type="paragraph" w:styleId="Verzeichnis8">
    <w:name w:val="toc 8"/>
    <w:basedOn w:val="Verzeichnis4"/>
    <w:next w:val="Textkrper"/>
    <w:semiHidden/>
    <w:rsid w:val="0013555D"/>
  </w:style>
  <w:style w:type="paragraph" w:styleId="Verzeichnis9">
    <w:name w:val="toc 9"/>
    <w:basedOn w:val="Verzeichnis4"/>
    <w:next w:val="Textkrper"/>
    <w:semiHidden/>
    <w:rsid w:val="0013555D"/>
  </w:style>
  <w:style w:type="paragraph" w:styleId="Textkrper2">
    <w:name w:val="Body Text 2"/>
    <w:basedOn w:val="Standard"/>
    <w:link w:val="Textkrper2Zchn"/>
    <w:unhideWhenUsed/>
    <w:rsid w:val="008E04A6"/>
    <w:pPr>
      <w:snapToGrid w:val="0"/>
      <w:spacing w:after="120"/>
      <w:jc w:val="both"/>
    </w:pPr>
    <w:rPr>
      <w:rFonts w:ascii="Verdana" w:eastAsia="Times New Roman" w:hAnsi="Verdana"/>
    </w:rPr>
  </w:style>
  <w:style w:type="character" w:customStyle="1" w:styleId="Textkrper2Zchn">
    <w:name w:val="Textkörper 2 Zchn"/>
    <w:basedOn w:val="Absatz-Standardschriftart"/>
    <w:link w:val="Textkrper2"/>
    <w:rsid w:val="008E04A6"/>
    <w:rPr>
      <w:rFonts w:ascii="Verdana" w:hAnsi="Verdana" w:cs="Times New Roman"/>
      <w:sz w:val="20"/>
      <w:szCs w:val="20"/>
    </w:rPr>
  </w:style>
  <w:style w:type="table" w:styleId="Tabellenraster">
    <w:name w:val="Table Grid"/>
    <w:basedOn w:val="NormaleTabelle"/>
    <w:rsid w:val="008E04A6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GPABW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Waack Simone</dc:creator>
  <cp:keywords/>
  <dc:description/>
  <cp:lastModifiedBy>Waack Simone</cp:lastModifiedBy>
  <cp:revision>1</cp:revision>
  <dcterms:created xsi:type="dcterms:W3CDTF">2025-06-26T13:59:00Z</dcterms:created>
  <dcterms:modified xsi:type="dcterms:W3CDTF">2025-06-26T14:05:00Z</dcterms:modified>
</cp:coreProperties>
</file>